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C29" w:rsidRDefault="00E37C29" w:rsidP="00E37C29">
      <w:pPr>
        <w:spacing w:after="0"/>
        <w:jc w:val="center"/>
        <w:rPr>
          <w:sz w:val="32"/>
          <w:szCs w:val="32"/>
          <w:u w:val="single"/>
        </w:rPr>
      </w:pPr>
      <w:r w:rsidRPr="00E37C29">
        <w:rPr>
          <w:sz w:val="32"/>
          <w:szCs w:val="32"/>
          <w:u w:val="single"/>
        </w:rPr>
        <w:t xml:space="preserve">Chapitre 12 - Les acquisitions d'immobilisations </w:t>
      </w:r>
    </w:p>
    <w:p w:rsidR="00000000" w:rsidRDefault="00E37C29" w:rsidP="00E37C29">
      <w:pPr>
        <w:spacing w:after="0"/>
        <w:jc w:val="center"/>
        <w:rPr>
          <w:sz w:val="32"/>
          <w:szCs w:val="32"/>
          <w:u w:val="single"/>
        </w:rPr>
      </w:pPr>
      <w:r w:rsidRPr="00E37C29">
        <w:rPr>
          <w:sz w:val="32"/>
          <w:szCs w:val="32"/>
          <w:u w:val="single"/>
        </w:rPr>
        <w:t>corporelles et incorporelles</w:t>
      </w:r>
    </w:p>
    <w:p w:rsidR="00E37C29" w:rsidRDefault="00E37C29" w:rsidP="00E37C29">
      <w:pPr>
        <w:spacing w:after="0"/>
        <w:jc w:val="center"/>
        <w:rPr>
          <w:u w:val="single"/>
        </w:rPr>
      </w:pPr>
    </w:p>
    <w:p w:rsidR="00E37C29" w:rsidRDefault="00E37C29" w:rsidP="00E37C29">
      <w:pPr>
        <w:spacing w:after="0"/>
        <w:jc w:val="both"/>
        <w:rPr>
          <w:u w:val="single"/>
        </w:rPr>
      </w:pPr>
      <w:r>
        <w:rPr>
          <w:u w:val="single"/>
        </w:rPr>
        <w:t>I – Définitions</w:t>
      </w:r>
    </w:p>
    <w:p w:rsidR="00E37C29" w:rsidRDefault="00E37C29" w:rsidP="00E37C29">
      <w:pPr>
        <w:spacing w:after="0"/>
        <w:jc w:val="both"/>
        <w:rPr>
          <w:u w:val="single"/>
        </w:rPr>
      </w:pPr>
    </w:p>
    <w:p w:rsidR="00E37C29" w:rsidRDefault="00E37C29" w:rsidP="00E37C29">
      <w:pPr>
        <w:spacing w:after="0"/>
        <w:jc w:val="both"/>
      </w:pPr>
      <w:r>
        <w:t>Un actif est un élément identifiable du patrimoine de l’entité ayant une valeur positive pour l’entité, c’est-à-dire un élément générant une ressource que l’entité contrôle du fait d’évènements passés et dont elle attend des avantages économiques futurs.</w:t>
      </w:r>
    </w:p>
    <w:p w:rsidR="00E37C29" w:rsidRDefault="00E37C29" w:rsidP="00E37C29">
      <w:pPr>
        <w:spacing w:after="0"/>
        <w:jc w:val="both"/>
      </w:pPr>
      <w:r>
        <w:t>Les immobilisations sont des actifs et sont des éléments destinés à servir de façon durable à l’activité de l’entreprise. Ils ne se consomment pas par le premier usage.</w:t>
      </w:r>
    </w:p>
    <w:p w:rsidR="00E37C29" w:rsidRDefault="00E37C29" w:rsidP="00E37C29">
      <w:pPr>
        <w:spacing w:after="0"/>
        <w:jc w:val="both"/>
      </w:pPr>
    </w:p>
    <w:p w:rsidR="00E37C29" w:rsidRDefault="00E37C29" w:rsidP="00E37C29">
      <w:pPr>
        <w:pStyle w:val="Paragraphedeliste"/>
        <w:numPr>
          <w:ilvl w:val="0"/>
          <w:numId w:val="1"/>
        </w:numPr>
        <w:spacing w:after="0"/>
        <w:jc w:val="both"/>
      </w:pPr>
      <w:r>
        <w:t>Une immobilisation corporelle est un actif physique détenu soit pour être utilisé dans la production ou la fourniture de biens ou de services (machine), soit pour être loué à des tiers (véhicule), soit à des fins de gestion interne (ordinateur) et dont l’entreprise attend qu’il soit utilisé au-delà de l’exercice en cours.</w:t>
      </w:r>
    </w:p>
    <w:p w:rsidR="00736927" w:rsidRDefault="00E37C29" w:rsidP="00736927">
      <w:pPr>
        <w:spacing w:after="0"/>
        <w:ind w:firstLine="708"/>
        <w:jc w:val="both"/>
      </w:pPr>
      <w:r>
        <w:t>Ce sont les compte 21X</w:t>
      </w:r>
      <w:r w:rsidR="00736927">
        <w:t>X (et 231 pour les immobilisations corporelles en cours).</w:t>
      </w:r>
    </w:p>
    <w:p w:rsidR="00736927" w:rsidRDefault="00736927" w:rsidP="00E37C29">
      <w:pPr>
        <w:spacing w:after="0"/>
        <w:jc w:val="both"/>
      </w:pPr>
    </w:p>
    <w:p w:rsidR="00736927" w:rsidRDefault="00736927" w:rsidP="00736927">
      <w:pPr>
        <w:pStyle w:val="Paragraphedeliste"/>
        <w:numPr>
          <w:ilvl w:val="0"/>
          <w:numId w:val="1"/>
        </w:numPr>
        <w:spacing w:after="0"/>
        <w:jc w:val="both"/>
      </w:pPr>
      <w:r>
        <w:t>Une immobilisation incorporelle est un actif non monétaire sans substance physique.</w:t>
      </w:r>
    </w:p>
    <w:p w:rsidR="00E37C29" w:rsidRDefault="00736927" w:rsidP="00736927">
      <w:pPr>
        <w:pStyle w:val="Paragraphedeliste"/>
        <w:spacing w:after="0"/>
        <w:jc w:val="both"/>
      </w:pPr>
      <w:r>
        <w:t xml:space="preserve">Ce sont les comptes 20XX (et 232 pour les immobilisations incorporelles en cours). </w:t>
      </w:r>
    </w:p>
    <w:p w:rsidR="00736927" w:rsidRDefault="00736927" w:rsidP="00736927">
      <w:pPr>
        <w:spacing w:after="0"/>
        <w:jc w:val="both"/>
      </w:pPr>
    </w:p>
    <w:p w:rsidR="00736927" w:rsidRDefault="00736927" w:rsidP="00736927">
      <w:pPr>
        <w:spacing w:after="0"/>
        <w:jc w:val="both"/>
        <w:rPr>
          <w:u w:val="single"/>
        </w:rPr>
      </w:pPr>
      <w:r>
        <w:rPr>
          <w:u w:val="single"/>
        </w:rPr>
        <w:t>II – Critères de comptabilisation d’une immobilisation à l’actif du bilan</w:t>
      </w:r>
    </w:p>
    <w:p w:rsidR="00736927" w:rsidRDefault="00736927" w:rsidP="00736927">
      <w:pPr>
        <w:spacing w:after="0"/>
        <w:jc w:val="both"/>
        <w:rPr>
          <w:u w:val="single"/>
        </w:rPr>
      </w:pPr>
    </w:p>
    <w:p w:rsidR="00736927" w:rsidRDefault="00736927" w:rsidP="00507FC9">
      <w:pPr>
        <w:spacing w:after="0"/>
        <w:jc w:val="both"/>
      </w:pPr>
      <w:r>
        <w:t>Pour qu’une immobilisation soit immobilisée :</w:t>
      </w:r>
    </w:p>
    <w:p w:rsidR="00736927" w:rsidRDefault="00736927" w:rsidP="00507FC9">
      <w:pPr>
        <w:pStyle w:val="Paragraphedeliste"/>
        <w:numPr>
          <w:ilvl w:val="0"/>
          <w:numId w:val="2"/>
        </w:numPr>
        <w:spacing w:after="0"/>
        <w:jc w:val="both"/>
      </w:pPr>
      <w:r>
        <w:t>Elle doit correspondre à la définition d’une immobilisation</w:t>
      </w:r>
    </w:p>
    <w:p w:rsidR="00736927" w:rsidRDefault="00736927" w:rsidP="00507FC9">
      <w:pPr>
        <w:pStyle w:val="Paragraphedeliste"/>
        <w:numPr>
          <w:ilvl w:val="0"/>
          <w:numId w:val="2"/>
        </w:numPr>
        <w:spacing w:after="0"/>
        <w:jc w:val="both"/>
      </w:pPr>
      <w:r>
        <w:t>Elle doit remplir deux conditions :</w:t>
      </w:r>
    </w:p>
    <w:p w:rsidR="00736927" w:rsidRDefault="00736927" w:rsidP="00507FC9">
      <w:pPr>
        <w:pStyle w:val="Paragraphedeliste"/>
        <w:numPr>
          <w:ilvl w:val="1"/>
          <w:numId w:val="2"/>
        </w:numPr>
        <w:spacing w:after="0"/>
        <w:jc w:val="both"/>
      </w:pPr>
      <w:r>
        <w:t>L’entreprise doit bénéficier d’avantages économiques futurs</w:t>
      </w:r>
    </w:p>
    <w:p w:rsidR="00736927" w:rsidRDefault="00736927" w:rsidP="00507FC9">
      <w:pPr>
        <w:pStyle w:val="Paragraphedeliste"/>
        <w:numPr>
          <w:ilvl w:val="1"/>
          <w:numId w:val="2"/>
        </w:numPr>
        <w:spacing w:after="0"/>
        <w:jc w:val="both"/>
      </w:pPr>
      <w:r>
        <w:t>L’entreprise doit pouvoir évaluer le coût de l’immobilisation avec une fiabilité suffisante</w:t>
      </w:r>
    </w:p>
    <w:p w:rsidR="00736927" w:rsidRDefault="00736927" w:rsidP="00507FC9">
      <w:pPr>
        <w:spacing w:after="0"/>
        <w:jc w:val="both"/>
      </w:pPr>
    </w:p>
    <w:p w:rsidR="00736927" w:rsidRDefault="00736927" w:rsidP="00507FC9">
      <w:pPr>
        <w:spacing w:after="0"/>
        <w:jc w:val="both"/>
        <w:rPr>
          <w:u w:val="single"/>
        </w:rPr>
      </w:pPr>
      <w:r>
        <w:rPr>
          <w:u w:val="single"/>
        </w:rPr>
        <w:t>III – Définition du coût d’entrée d’un actif</w:t>
      </w:r>
    </w:p>
    <w:p w:rsidR="00736927" w:rsidRDefault="00736927" w:rsidP="00507FC9">
      <w:pPr>
        <w:spacing w:after="0"/>
        <w:jc w:val="both"/>
        <w:rPr>
          <w:u w:val="single"/>
        </w:rPr>
      </w:pPr>
    </w:p>
    <w:p w:rsidR="00736927" w:rsidRDefault="00736927" w:rsidP="00507FC9">
      <w:pPr>
        <w:spacing w:after="0"/>
        <w:jc w:val="both"/>
      </w:pPr>
      <w:r>
        <w:t>A leur date d’entrée dans le patrimoine de l’entreprise, la valeur des actifs est déterminée dans les conditions suivantes :</w:t>
      </w:r>
    </w:p>
    <w:p w:rsidR="00736927" w:rsidRDefault="00736927" w:rsidP="00507FC9">
      <w:pPr>
        <w:pStyle w:val="Paragraphedeliste"/>
        <w:numPr>
          <w:ilvl w:val="0"/>
          <w:numId w:val="2"/>
        </w:numPr>
        <w:spacing w:after="0"/>
        <w:jc w:val="both"/>
      </w:pPr>
      <w:r>
        <w:t>Les actifs acquis à titre onéreux sont comptabilisés au coût d’acquisition</w:t>
      </w:r>
    </w:p>
    <w:p w:rsidR="00507FC9" w:rsidRDefault="00507FC9" w:rsidP="00507FC9">
      <w:pPr>
        <w:pStyle w:val="Paragraphedeliste"/>
        <w:numPr>
          <w:ilvl w:val="0"/>
          <w:numId w:val="2"/>
        </w:numPr>
        <w:spacing w:after="0"/>
        <w:jc w:val="both"/>
      </w:pPr>
      <w:r>
        <w:t>Les actifs produits par l’entreprise sont comptabilisés à leur coût de production</w:t>
      </w:r>
    </w:p>
    <w:p w:rsidR="00507FC9" w:rsidRDefault="00507FC9" w:rsidP="00507FC9">
      <w:pPr>
        <w:pStyle w:val="Paragraphedeliste"/>
        <w:numPr>
          <w:ilvl w:val="0"/>
          <w:numId w:val="2"/>
        </w:numPr>
        <w:spacing w:after="0"/>
        <w:jc w:val="both"/>
      </w:pPr>
      <w:r>
        <w:t>Les actifs acquis à titre gratuit ainsi que les actifs acquis par voie d’échange sont comptabilisés à leur valeur vénale</w:t>
      </w:r>
    </w:p>
    <w:p w:rsidR="00507FC9" w:rsidRDefault="00507FC9" w:rsidP="00507FC9">
      <w:pPr>
        <w:spacing w:after="0"/>
        <w:rPr>
          <w:u w:val="single"/>
        </w:rPr>
      </w:pPr>
      <w:r>
        <w:br w:type="page"/>
      </w:r>
      <w:r>
        <w:rPr>
          <w:u w:val="single"/>
        </w:rPr>
        <w:lastRenderedPageBreak/>
        <w:t xml:space="preserve">IV – La ventilation par composant de la valeur d’origine </w:t>
      </w:r>
    </w:p>
    <w:p w:rsidR="00507FC9" w:rsidRDefault="00507FC9" w:rsidP="00507FC9">
      <w:pPr>
        <w:spacing w:after="0"/>
        <w:rPr>
          <w:u w:val="single"/>
        </w:rPr>
      </w:pPr>
    </w:p>
    <w:p w:rsidR="00507FC9" w:rsidRDefault="00507FC9" w:rsidP="00507FC9">
      <w:pPr>
        <w:spacing w:after="0"/>
        <w:jc w:val="both"/>
      </w:pPr>
      <w:r>
        <w:t>Il convient désormais de comptabiliser séparément les éléments principaux d’immobilisations corporelles devant faire l’objet de remplacement à intervalles réguliers, ayant des durées et des rythmes d’utilisation différents, de l’immobilisation dans son ensemble.</w:t>
      </w:r>
    </w:p>
    <w:p w:rsidR="002670C8" w:rsidRDefault="002670C8" w:rsidP="00507FC9">
      <w:pPr>
        <w:spacing w:after="0"/>
        <w:jc w:val="both"/>
      </w:pPr>
    </w:p>
    <w:p w:rsidR="00507FC9" w:rsidRDefault="00507FC9" w:rsidP="00507FC9">
      <w:pPr>
        <w:spacing w:after="0"/>
        <w:jc w:val="both"/>
      </w:pPr>
      <w:r>
        <w:t>Un composant est un élément d’immobilisation qui a une utilisation différente ou procure des avantages économiques selon un rythme différent de celui de l’immobilisation dans son ensemble.</w:t>
      </w:r>
    </w:p>
    <w:p w:rsidR="002670C8" w:rsidRDefault="002670C8" w:rsidP="00507FC9">
      <w:pPr>
        <w:spacing w:after="0"/>
        <w:jc w:val="both"/>
      </w:pPr>
    </w:p>
    <w:p w:rsidR="002670C8" w:rsidRDefault="002670C8" w:rsidP="00507FC9">
      <w:pPr>
        <w:spacing w:after="0"/>
        <w:jc w:val="both"/>
      </w:pPr>
      <w:r>
        <w:t>L’approche par composants impose de décomposer le bien dès l’origine entre l’actif principal et ses différents composants lorsqu’ils sont significatifs.</w:t>
      </w:r>
    </w:p>
    <w:p w:rsidR="002670C8" w:rsidRDefault="002670C8" w:rsidP="00507FC9">
      <w:pPr>
        <w:spacing w:after="0"/>
        <w:jc w:val="both"/>
      </w:pPr>
    </w:p>
    <w:p w:rsidR="002670C8" w:rsidRDefault="002670C8" w:rsidP="00507FC9">
      <w:pPr>
        <w:spacing w:after="0"/>
        <w:jc w:val="both"/>
      </w:pPr>
      <w:r>
        <w:t>Seuils de signification proposés par l’administration fiscale et règles comptables :</w:t>
      </w:r>
    </w:p>
    <w:p w:rsidR="002670C8" w:rsidRDefault="002670C8" w:rsidP="00507FC9">
      <w:pPr>
        <w:spacing w:after="0"/>
        <w:jc w:val="both"/>
      </w:pPr>
    </w:p>
    <w:tbl>
      <w:tblPr>
        <w:tblStyle w:val="Grilledutableau"/>
        <w:tblW w:w="0" w:type="auto"/>
        <w:tblLook w:val="04A0"/>
      </w:tblPr>
      <w:tblGrid>
        <w:gridCol w:w="1668"/>
        <w:gridCol w:w="3685"/>
        <w:gridCol w:w="3859"/>
      </w:tblGrid>
      <w:tr w:rsidR="002670C8" w:rsidTr="002670C8">
        <w:tc>
          <w:tcPr>
            <w:tcW w:w="1668" w:type="dxa"/>
          </w:tcPr>
          <w:p w:rsidR="002670C8" w:rsidRDefault="002670C8" w:rsidP="002670C8">
            <w:pPr>
              <w:jc w:val="center"/>
            </w:pPr>
          </w:p>
        </w:tc>
        <w:tc>
          <w:tcPr>
            <w:tcW w:w="7544" w:type="dxa"/>
            <w:gridSpan w:val="2"/>
          </w:tcPr>
          <w:p w:rsidR="002670C8" w:rsidRDefault="002670C8" w:rsidP="002670C8">
            <w:pPr>
              <w:jc w:val="center"/>
            </w:pPr>
            <w:r>
              <w:t>Composants significatifs</w:t>
            </w:r>
          </w:p>
        </w:tc>
      </w:tr>
      <w:tr w:rsidR="002670C8" w:rsidRPr="002670C8" w:rsidTr="002670C8">
        <w:tc>
          <w:tcPr>
            <w:tcW w:w="1668" w:type="dxa"/>
          </w:tcPr>
          <w:p w:rsidR="002670C8" w:rsidRDefault="002670C8" w:rsidP="002670C8">
            <w:pPr>
              <w:jc w:val="center"/>
            </w:pPr>
            <w:r>
              <w:t>Textes</w:t>
            </w:r>
          </w:p>
        </w:tc>
        <w:tc>
          <w:tcPr>
            <w:tcW w:w="3685" w:type="dxa"/>
          </w:tcPr>
          <w:p w:rsidR="002670C8" w:rsidRDefault="002670C8" w:rsidP="002670C8">
            <w:pPr>
              <w:jc w:val="center"/>
            </w:pPr>
            <w:r>
              <w:t>Avis CU du CNC n°2003-E</w:t>
            </w:r>
          </w:p>
        </w:tc>
        <w:tc>
          <w:tcPr>
            <w:tcW w:w="3859" w:type="dxa"/>
          </w:tcPr>
          <w:p w:rsidR="002670C8" w:rsidRPr="002670C8" w:rsidRDefault="002670C8" w:rsidP="002670C8">
            <w:pPr>
              <w:jc w:val="center"/>
              <w:rPr>
                <w:lang w:val="en-US"/>
              </w:rPr>
            </w:pPr>
            <w:r w:rsidRPr="002670C8">
              <w:rPr>
                <w:lang w:val="en-US"/>
              </w:rPr>
              <w:t>CGI A II, Art. 15 bis</w:t>
            </w:r>
          </w:p>
        </w:tc>
      </w:tr>
      <w:tr w:rsidR="002670C8" w:rsidRPr="002670C8" w:rsidTr="002670C8">
        <w:tc>
          <w:tcPr>
            <w:tcW w:w="1668" w:type="dxa"/>
          </w:tcPr>
          <w:p w:rsidR="002670C8" w:rsidRPr="002670C8" w:rsidRDefault="002670C8" w:rsidP="002670C8">
            <w:pPr>
              <w:jc w:val="center"/>
              <w:rPr>
                <w:lang w:val="en-US"/>
              </w:rPr>
            </w:pPr>
            <w:r w:rsidRPr="002670C8">
              <w:t>Eléments concernés</w:t>
            </w:r>
          </w:p>
        </w:tc>
        <w:tc>
          <w:tcPr>
            <w:tcW w:w="3685" w:type="dxa"/>
          </w:tcPr>
          <w:p w:rsidR="002670C8" w:rsidRDefault="002670C8" w:rsidP="002670C8">
            <w:pPr>
              <w:jc w:val="center"/>
            </w:pPr>
            <w:r w:rsidRPr="002670C8">
              <w:t>Forte valeur unitaire</w:t>
            </w:r>
          </w:p>
          <w:p w:rsidR="002670C8" w:rsidRPr="002670C8" w:rsidRDefault="002670C8" w:rsidP="002670C8">
            <w:pPr>
              <w:jc w:val="center"/>
            </w:pPr>
          </w:p>
          <w:p w:rsidR="002670C8" w:rsidRDefault="002670C8" w:rsidP="002670C8">
            <w:pPr>
              <w:jc w:val="center"/>
            </w:pPr>
            <w:r w:rsidRPr="002670C8">
              <w:t>ET</w:t>
            </w:r>
          </w:p>
          <w:p w:rsidR="002670C8" w:rsidRPr="002670C8" w:rsidRDefault="002670C8" w:rsidP="002670C8">
            <w:pPr>
              <w:jc w:val="center"/>
            </w:pPr>
          </w:p>
          <w:p w:rsidR="002670C8" w:rsidRPr="002670C8" w:rsidRDefault="002670C8" w:rsidP="002670C8">
            <w:pPr>
              <w:jc w:val="center"/>
            </w:pPr>
            <w:r w:rsidRPr="002670C8">
              <w:t>Durée</w:t>
            </w:r>
            <w:r>
              <w:t xml:space="preserve"> </w:t>
            </w:r>
            <w:r w:rsidRPr="002670C8">
              <w:t>d’amortissement sensiblement différente de celle de l’immobilisation principale</w:t>
            </w:r>
          </w:p>
        </w:tc>
        <w:tc>
          <w:tcPr>
            <w:tcW w:w="3859" w:type="dxa"/>
          </w:tcPr>
          <w:p w:rsidR="002670C8" w:rsidRDefault="002670C8" w:rsidP="002670C8">
            <w:pPr>
              <w:jc w:val="center"/>
            </w:pPr>
            <w:r>
              <w:t>Forte valeur unitaire</w:t>
            </w:r>
          </w:p>
          <w:p w:rsidR="002670C8" w:rsidRDefault="002670C8" w:rsidP="002670C8">
            <w:pPr>
              <w:jc w:val="center"/>
            </w:pPr>
            <w:r>
              <w:t>(≥ à 500 € ou ≥ 15 % du coût de revient de l’immobilisation pour les biens meubles ou 1 % pour les immeubles)</w:t>
            </w:r>
          </w:p>
          <w:p w:rsidR="002670C8" w:rsidRDefault="002670C8" w:rsidP="002670C8">
            <w:pPr>
              <w:jc w:val="center"/>
            </w:pPr>
          </w:p>
          <w:p w:rsidR="002670C8" w:rsidRDefault="002670C8" w:rsidP="002670C8">
            <w:pPr>
              <w:jc w:val="center"/>
            </w:pPr>
            <w:r>
              <w:t>OU</w:t>
            </w:r>
          </w:p>
          <w:p w:rsidR="002670C8" w:rsidRDefault="002670C8" w:rsidP="002670C8">
            <w:pPr>
              <w:jc w:val="center"/>
            </w:pPr>
          </w:p>
          <w:p w:rsidR="002670C8" w:rsidRDefault="002670C8" w:rsidP="002670C8">
            <w:pPr>
              <w:jc w:val="center"/>
            </w:pPr>
            <w:r>
              <w:t>Durée d’amortissement sensiblement différente</w:t>
            </w:r>
          </w:p>
          <w:p w:rsidR="002670C8" w:rsidRPr="002670C8" w:rsidRDefault="002670C8" w:rsidP="002670C8">
            <w:pPr>
              <w:jc w:val="center"/>
            </w:pPr>
            <w:r>
              <w:t>(- 20 % par rapport à la structure)</w:t>
            </w:r>
          </w:p>
        </w:tc>
      </w:tr>
    </w:tbl>
    <w:p w:rsidR="002670C8" w:rsidRDefault="002670C8" w:rsidP="00507FC9">
      <w:pPr>
        <w:spacing w:after="0"/>
        <w:jc w:val="both"/>
      </w:pPr>
    </w:p>
    <w:p w:rsidR="002670C8" w:rsidRDefault="002670C8" w:rsidP="00507FC9">
      <w:pPr>
        <w:spacing w:after="0"/>
        <w:jc w:val="both"/>
        <w:rPr>
          <w:u w:val="single"/>
        </w:rPr>
      </w:pPr>
      <w:r>
        <w:rPr>
          <w:u w:val="single"/>
        </w:rPr>
        <w:t>Exemple de décomposition d’un bâtiment :</w:t>
      </w:r>
    </w:p>
    <w:p w:rsidR="002670C8" w:rsidRDefault="002670C8" w:rsidP="00507FC9">
      <w:pPr>
        <w:spacing w:after="0"/>
        <w:jc w:val="both"/>
        <w:rPr>
          <w:u w:val="single"/>
        </w:rPr>
      </w:pPr>
    </w:p>
    <w:p w:rsidR="002670C8" w:rsidRDefault="002670C8" w:rsidP="00507FC9">
      <w:pPr>
        <w:spacing w:after="0"/>
        <w:jc w:val="both"/>
      </w:pPr>
      <w:r>
        <w:t>Compte 213 – Constructions :</w:t>
      </w:r>
    </w:p>
    <w:p w:rsidR="006416E8" w:rsidRDefault="006416E8" w:rsidP="00507FC9">
      <w:pPr>
        <w:spacing w:after="0"/>
        <w:jc w:val="both"/>
      </w:pPr>
    </w:p>
    <w:p w:rsidR="002670C8" w:rsidRDefault="006416E8" w:rsidP="002670C8">
      <w:pPr>
        <w:pStyle w:val="Paragraphedeliste"/>
        <w:numPr>
          <w:ilvl w:val="0"/>
          <w:numId w:val="2"/>
        </w:numPr>
        <w:spacing w:after="0"/>
        <w:jc w:val="both"/>
      </w:pPr>
      <w:r>
        <w:t>21301</w:t>
      </w:r>
      <w:r w:rsidR="002670C8">
        <w:t xml:space="preserve"> – Construction – Structure</w:t>
      </w:r>
    </w:p>
    <w:p w:rsidR="002670C8" w:rsidRDefault="002670C8" w:rsidP="002670C8">
      <w:pPr>
        <w:pStyle w:val="Paragraphedeliste"/>
        <w:numPr>
          <w:ilvl w:val="0"/>
          <w:numId w:val="2"/>
        </w:numPr>
        <w:spacing w:after="0"/>
        <w:jc w:val="both"/>
      </w:pPr>
      <w:r>
        <w:t>21302 – Construction – Toiture</w:t>
      </w:r>
    </w:p>
    <w:p w:rsidR="002670C8" w:rsidRDefault="002670C8" w:rsidP="002670C8">
      <w:pPr>
        <w:pStyle w:val="Paragraphedeliste"/>
        <w:numPr>
          <w:ilvl w:val="0"/>
          <w:numId w:val="2"/>
        </w:numPr>
        <w:spacing w:after="0"/>
        <w:jc w:val="both"/>
      </w:pPr>
      <w:r>
        <w:t xml:space="preserve">21303 – Construction </w:t>
      </w:r>
      <w:r w:rsidR="006416E8">
        <w:t>–</w:t>
      </w:r>
      <w:r>
        <w:t xml:space="preserve"> </w:t>
      </w:r>
      <w:r w:rsidR="006416E8">
        <w:t>Ascenseurs</w:t>
      </w:r>
    </w:p>
    <w:p w:rsidR="006416E8" w:rsidRDefault="006416E8" w:rsidP="002670C8">
      <w:pPr>
        <w:pStyle w:val="Paragraphedeliste"/>
        <w:numPr>
          <w:ilvl w:val="0"/>
          <w:numId w:val="2"/>
        </w:numPr>
        <w:spacing w:after="0"/>
        <w:jc w:val="both"/>
      </w:pPr>
      <w:r>
        <w:t>21304 – Construction – Chaufferie</w:t>
      </w:r>
    </w:p>
    <w:p w:rsidR="006416E8" w:rsidRDefault="006416E8" w:rsidP="006416E8">
      <w:pPr>
        <w:spacing w:after="0"/>
        <w:jc w:val="both"/>
      </w:pPr>
    </w:p>
    <w:p w:rsidR="006416E8" w:rsidRDefault="006416E8" w:rsidP="006416E8">
      <w:pPr>
        <w:spacing w:after="0"/>
        <w:jc w:val="both"/>
        <w:rPr>
          <w:u w:val="single"/>
        </w:rPr>
      </w:pPr>
      <w:r>
        <w:rPr>
          <w:u w:val="single"/>
        </w:rPr>
        <w:t>Autres exemples :</w:t>
      </w:r>
    </w:p>
    <w:p w:rsidR="006416E8" w:rsidRDefault="006416E8" w:rsidP="006416E8">
      <w:pPr>
        <w:spacing w:after="0"/>
        <w:jc w:val="both"/>
        <w:rPr>
          <w:u w:val="single"/>
        </w:rPr>
      </w:pPr>
    </w:p>
    <w:p w:rsidR="006416E8" w:rsidRDefault="006416E8" w:rsidP="006416E8">
      <w:pPr>
        <w:pStyle w:val="Paragraphedeliste"/>
        <w:numPr>
          <w:ilvl w:val="0"/>
          <w:numId w:val="2"/>
        </w:numPr>
        <w:spacing w:after="0"/>
        <w:jc w:val="both"/>
      </w:pPr>
      <w:r>
        <w:t>Un avion et des composants tels que les sièges</w:t>
      </w:r>
    </w:p>
    <w:p w:rsidR="006416E8" w:rsidRDefault="006416E8" w:rsidP="006416E8">
      <w:pPr>
        <w:pStyle w:val="Paragraphedeliste"/>
        <w:numPr>
          <w:ilvl w:val="0"/>
          <w:numId w:val="2"/>
        </w:numPr>
        <w:spacing w:after="0"/>
        <w:jc w:val="both"/>
      </w:pPr>
      <w:r>
        <w:t>Une machine électrique et un composant tel que sa batterie</w:t>
      </w:r>
    </w:p>
    <w:p w:rsidR="006A4434" w:rsidRDefault="006A4434" w:rsidP="006A4434">
      <w:pPr>
        <w:spacing w:after="0"/>
        <w:jc w:val="both"/>
      </w:pPr>
    </w:p>
    <w:p w:rsidR="006A4434" w:rsidRDefault="006A4434" w:rsidP="006A4434">
      <w:pPr>
        <w:spacing w:after="0"/>
        <w:jc w:val="both"/>
      </w:pPr>
      <w:r>
        <w:t>Cette disposition est applicable aux biens acquis neufs ou aux biens acquis d’occasion.</w:t>
      </w:r>
    </w:p>
    <w:p w:rsidR="00872D38" w:rsidRDefault="00872D38" w:rsidP="006A4434">
      <w:pPr>
        <w:spacing w:after="0"/>
        <w:jc w:val="both"/>
      </w:pPr>
    </w:p>
    <w:p w:rsidR="00872D38" w:rsidRPr="00872D38" w:rsidRDefault="00872D38" w:rsidP="006A4434">
      <w:pPr>
        <w:spacing w:after="0"/>
        <w:jc w:val="both"/>
        <w:rPr>
          <w:u w:val="single"/>
        </w:rPr>
      </w:pPr>
      <w:r>
        <w:rPr>
          <w:u w:val="single"/>
        </w:rPr>
        <w:t>V – Détermination du coût d’acquisition</w:t>
      </w:r>
    </w:p>
    <w:sectPr w:rsidR="00872D38" w:rsidRPr="00872D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E0718"/>
    <w:multiLevelType w:val="hybridMultilevel"/>
    <w:tmpl w:val="706E8C2E"/>
    <w:lvl w:ilvl="0" w:tplc="01405E84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F921EF"/>
    <w:multiLevelType w:val="hybridMultilevel"/>
    <w:tmpl w:val="CC8A6404"/>
    <w:lvl w:ilvl="0" w:tplc="2B387B9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E37C29"/>
    <w:rsid w:val="002670C8"/>
    <w:rsid w:val="00507FC9"/>
    <w:rsid w:val="006416E8"/>
    <w:rsid w:val="006A4434"/>
    <w:rsid w:val="00736927"/>
    <w:rsid w:val="00872D38"/>
    <w:rsid w:val="00E37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36927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507FC9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07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7FC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2670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3680C-DB18-4402-B9E4-08CF10858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548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etudiant</dc:creator>
  <cp:keywords/>
  <dc:description/>
  <cp:lastModifiedBy>etudiant</cp:lastModifiedBy>
  <cp:revision>5</cp:revision>
  <dcterms:created xsi:type="dcterms:W3CDTF">2010-10-25T07:13:00Z</dcterms:created>
  <dcterms:modified xsi:type="dcterms:W3CDTF">2010-10-25T07:57:00Z</dcterms:modified>
</cp:coreProperties>
</file>